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90" w:rsidRPr="0009774A" w:rsidRDefault="00982890" w:rsidP="00875488">
      <w:pPr>
        <w:pStyle w:val="NormalWeb"/>
        <w:bidi/>
        <w:jc w:val="center"/>
        <w:rPr>
          <w:rFonts w:asciiTheme="majorHAnsi" w:hAnsiTheme="majorHAnsi" w:cstheme="minorBidi"/>
          <w:b/>
          <w:bCs/>
          <w:color w:val="000000" w:themeColor="text1"/>
          <w:sz w:val="36"/>
          <w:szCs w:val="36"/>
          <w:rtl/>
          <w:lang w:bidi="ar-DZ"/>
        </w:rPr>
      </w:pPr>
      <w:r w:rsidRPr="00982890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 xml:space="preserve">OFFRE DE STAGE POST-DOCTORAL </w:t>
      </w:r>
    </w:p>
    <w:tbl>
      <w:tblPr>
        <w:tblStyle w:val="TableGrid"/>
        <w:tblW w:w="10491" w:type="dxa"/>
        <w:tblInd w:w="-436" w:type="dxa"/>
        <w:tblCellMar>
          <w:top w:w="44" w:type="dxa"/>
        </w:tblCellMar>
        <w:tblLook w:val="04A0"/>
      </w:tblPr>
      <w:tblGrid>
        <w:gridCol w:w="1827"/>
        <w:gridCol w:w="8664"/>
      </w:tblGrid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Spécialité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 xml:space="preserve"> Chimie Organique</w:t>
            </w:r>
          </w:p>
        </w:tc>
      </w:tr>
      <w:tr w:rsidR="002C53C6" w:rsidRPr="002C53C6" w:rsidTr="00E0583F">
        <w:trPr>
          <w:trHeight w:val="56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Structure de Recherche d'accueil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76" w:lineRule="auto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 xml:space="preserve"> Nom: Laboratoire de Caractérisation, Applications et Modélisation de Matériaux</w:t>
            </w:r>
          </w:p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Code: LR18ES08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Responsable du Stage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ind w:left="70" w:right="5113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Nom et Prénom</w:t>
            </w:r>
            <w:r w:rsidRPr="002C53C6">
              <w:rPr>
                <w:rFonts w:ascii="Times New Roman" w:eastAsiaTheme="minorHAnsi" w:hAnsi="Times New Roman" w:cs="Times New Roman"/>
              </w:rPr>
              <w:t xml:space="preserve">: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Amdouni</w:t>
            </w:r>
            <w:proofErr w:type="spellEnd"/>
            <w:r w:rsidRPr="002C53C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Noureddine</w:t>
            </w:r>
            <w:proofErr w:type="spellEnd"/>
          </w:p>
          <w:p w:rsidR="002C53C6" w:rsidRPr="002C53C6" w:rsidRDefault="002C53C6" w:rsidP="002C53C6">
            <w:pPr>
              <w:bidi w:val="0"/>
              <w:spacing w:after="0" w:line="240" w:lineRule="auto"/>
              <w:ind w:left="70" w:right="5113"/>
              <w:jc w:val="both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Mail : noureddine.amdouni@fst.utm.tn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Directeur de la</w:t>
            </w:r>
          </w:p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Structure de Recherche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ind w:left="70" w:right="5113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Nom et Prénom</w:t>
            </w:r>
            <w:r w:rsidRPr="002C53C6">
              <w:rPr>
                <w:rFonts w:ascii="Times New Roman" w:eastAsiaTheme="minorHAnsi" w:hAnsi="Times New Roman" w:cs="Times New Roman"/>
              </w:rPr>
              <w:t xml:space="preserve">: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Amdouni</w:t>
            </w:r>
            <w:proofErr w:type="spellEnd"/>
            <w:r w:rsidRPr="002C53C6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Noureddine</w:t>
            </w:r>
            <w:proofErr w:type="spellEnd"/>
          </w:p>
          <w:p w:rsidR="002C53C6" w:rsidRPr="002C53C6" w:rsidRDefault="002C53C6" w:rsidP="002C53C6">
            <w:pPr>
              <w:bidi w:val="0"/>
              <w:spacing w:after="0" w:line="240" w:lineRule="auto"/>
              <w:ind w:left="70" w:right="5113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Mail : noureddine.amdouni@fst.utm.tn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Titre du sujet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 xml:space="preserve">Étude Physico chimique de Liquide Ionique pour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Supercondensateurs</w:t>
            </w:r>
            <w:proofErr w:type="spellEnd"/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Mots clés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53C6" w:rsidRPr="002C53C6" w:rsidRDefault="002C53C6" w:rsidP="002C53C6">
            <w:pPr>
              <w:bidi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 xml:space="preserve">Liquide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ionqiue</w:t>
            </w:r>
            <w:proofErr w:type="spellEnd"/>
            <w:r w:rsidRPr="002C53C6">
              <w:rPr>
                <w:rFonts w:ascii="Times New Roman" w:eastAsiaTheme="minorHAnsi" w:hAnsi="Times New Roman" w:cs="Times New Roman"/>
              </w:rPr>
              <w:t>,</w:t>
            </w:r>
            <w:r w:rsidR="006C1840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2C53C6">
              <w:rPr>
                <w:rFonts w:ascii="Times New Roman" w:eastAsiaTheme="minorHAnsi" w:hAnsi="Times New Roman" w:cs="Times New Roman"/>
              </w:rPr>
              <w:t>micéllisation</w:t>
            </w:r>
            <w:proofErr w:type="spellEnd"/>
            <w:r w:rsidRPr="002C53C6">
              <w:rPr>
                <w:rFonts w:ascii="Times New Roman" w:eastAsiaTheme="minorHAnsi" w:hAnsi="Times New Roman" w:cs="Times New Roman"/>
              </w:rPr>
              <w:t>, conductivité,</w:t>
            </w:r>
            <w:r w:rsidR="006C1840">
              <w:rPr>
                <w:rFonts w:ascii="Times New Roman" w:eastAsiaTheme="minorHAnsi" w:hAnsi="Times New Roman" w:cs="Times New Roman"/>
              </w:rPr>
              <w:t xml:space="preserve"> </w:t>
            </w:r>
            <w:r w:rsidRPr="002C53C6">
              <w:rPr>
                <w:rFonts w:ascii="Times New Roman" w:eastAsiaTheme="minorHAnsi" w:hAnsi="Times New Roman" w:cs="Times New Roman"/>
              </w:rPr>
              <w:t>système</w:t>
            </w:r>
            <w:r w:rsidR="006C1840">
              <w:rPr>
                <w:rFonts w:ascii="Times New Roman" w:eastAsiaTheme="minorHAnsi" w:hAnsi="Times New Roman" w:cs="Times New Roman"/>
              </w:rPr>
              <w:t xml:space="preserve"> </w:t>
            </w:r>
            <w:r w:rsidRPr="002C53C6">
              <w:rPr>
                <w:rFonts w:ascii="Times New Roman" w:eastAsiaTheme="minorHAnsi" w:hAnsi="Times New Roman" w:cs="Times New Roman"/>
              </w:rPr>
              <w:t>micellaire.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Durée du Contrat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0949B6" w:rsidP="002C53C6">
            <w:pPr>
              <w:bidi w:val="0"/>
              <w:spacing w:after="0" w:line="240" w:lineRule="auto"/>
              <w:ind w:left="115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  <w:r w:rsidR="002C53C6" w:rsidRPr="002C53C6">
              <w:rPr>
                <w:rFonts w:ascii="Times New Roman" w:eastAsiaTheme="minorHAnsi" w:hAnsi="Times New Roman" w:cs="Times New Roman"/>
              </w:rPr>
              <w:t xml:space="preserve"> mois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Salaire Mensuel brut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0949B6">
            <w:pPr>
              <w:bidi w:val="0"/>
              <w:spacing w:after="0" w:line="240" w:lineRule="auto"/>
              <w:ind w:left="16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1.</w:t>
            </w:r>
            <w:r w:rsidR="000949B6">
              <w:rPr>
                <w:rFonts w:ascii="Times New Roman" w:eastAsiaTheme="minorHAnsi" w:hAnsi="Times New Roman" w:cs="Times New Roman"/>
              </w:rPr>
              <w:t>565</w:t>
            </w:r>
            <w:r w:rsidRPr="002C53C6">
              <w:rPr>
                <w:rFonts w:ascii="Times New Roman" w:eastAsiaTheme="minorHAnsi" w:hAnsi="Times New Roman" w:cs="Times New Roman"/>
              </w:rPr>
              <w:t xml:space="preserve"> DT</w:t>
            </w:r>
          </w:p>
        </w:tc>
      </w:tr>
      <w:tr w:rsidR="002C53C6" w:rsidRPr="002C53C6" w:rsidTr="00E0583F">
        <w:trPr>
          <w:trHeight w:val="540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2C53C6">
            <w:pPr>
              <w:bidi w:val="0"/>
              <w:spacing w:after="0" w:line="240" w:lineRule="auto"/>
              <w:ind w:left="70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>Début du stage</w:t>
            </w:r>
          </w:p>
        </w:tc>
        <w:tc>
          <w:tcPr>
            <w:tcW w:w="8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53C6" w:rsidRPr="002C53C6" w:rsidRDefault="002C53C6" w:rsidP="00B31AD4">
            <w:pPr>
              <w:bidi w:val="0"/>
              <w:spacing w:after="0" w:line="240" w:lineRule="auto"/>
              <w:ind w:left="115"/>
              <w:rPr>
                <w:rFonts w:ascii="Times New Roman" w:eastAsiaTheme="minorHAnsi" w:hAnsi="Times New Roman" w:cs="Times New Roman"/>
              </w:rPr>
            </w:pPr>
            <w:r w:rsidRPr="002C53C6">
              <w:rPr>
                <w:rFonts w:ascii="Times New Roman" w:eastAsiaTheme="minorHAnsi" w:hAnsi="Times New Roman" w:cs="Times New Roman"/>
              </w:rPr>
              <w:t xml:space="preserve">1er </w:t>
            </w:r>
            <w:r w:rsidR="00B31AD4">
              <w:rPr>
                <w:rFonts w:ascii="Times New Roman" w:eastAsiaTheme="minorHAnsi" w:hAnsi="Times New Roman" w:cs="Times New Roman"/>
              </w:rPr>
              <w:t>avril</w:t>
            </w:r>
            <w:r w:rsidR="000949B6">
              <w:rPr>
                <w:rFonts w:ascii="Times New Roman" w:eastAsiaTheme="minorHAnsi" w:hAnsi="Times New Roman" w:cs="Times New Roman"/>
              </w:rPr>
              <w:t xml:space="preserve"> </w:t>
            </w:r>
            <w:r w:rsidRPr="002C53C6">
              <w:rPr>
                <w:rFonts w:ascii="Times New Roman" w:eastAsiaTheme="minorHAnsi" w:hAnsi="Times New Roman" w:cs="Times New Roman"/>
              </w:rPr>
              <w:t xml:space="preserve"> 2024</w:t>
            </w:r>
          </w:p>
        </w:tc>
      </w:tr>
    </w:tbl>
    <w:p w:rsidR="00152DF0" w:rsidRPr="0097297C" w:rsidRDefault="00152DF0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b/>
          <w:bCs/>
          <w:u w:val="single"/>
          <w:rtl/>
          <w:lang w:bidi="ar-DZ"/>
        </w:rPr>
      </w:pPr>
      <w:r w:rsidRPr="005F19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Problématiques </w:t>
      </w:r>
      <w:r w:rsidR="00410A7C" w:rsidRPr="005F1910">
        <w:rPr>
          <w:rFonts w:asciiTheme="majorBidi" w:hAnsiTheme="majorBidi" w:cstheme="majorBidi"/>
          <w:b/>
          <w:bCs/>
          <w:sz w:val="24"/>
          <w:szCs w:val="24"/>
          <w:u w:val="single"/>
        </w:rPr>
        <w:t>à</w:t>
      </w:r>
      <w:r w:rsidRPr="005F191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prendre en charge par le </w:t>
      </w:r>
      <w:r w:rsidR="00DF203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projet </w:t>
      </w:r>
      <w:r w:rsidRPr="005F1910">
        <w:rPr>
          <w:rFonts w:asciiTheme="majorBidi" w:hAnsiTheme="majorBidi" w:cstheme="majorBidi"/>
          <w:b/>
          <w:bCs/>
          <w:sz w:val="24"/>
          <w:szCs w:val="24"/>
          <w:u w:val="single"/>
        </w:rPr>
        <w:t>de recherche</w:t>
      </w:r>
    </w:p>
    <w:p w:rsidR="000061F4" w:rsidRPr="002C3B37" w:rsidRDefault="00A91AFF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Les besoins en énergi</w:t>
      </w:r>
      <w:r w:rsidR="009F42A4">
        <w:rPr>
          <w:rFonts w:ascii="Times New Roman" w:hAnsi="Times New Roman" w:cs="Times New Roman"/>
          <w:color w:val="000000"/>
        </w:rPr>
        <w:t>e électrique ont donc entrainé ces 10 dernières années une augmentation rapide des recherches sur les systèmes</w:t>
      </w:r>
      <w:r>
        <w:rPr>
          <w:rFonts w:ascii="Times New Roman" w:hAnsi="Times New Roman" w:cs="Times New Roman"/>
          <w:color w:val="000000"/>
        </w:rPr>
        <w:t xml:space="preserve"> </w:t>
      </w:r>
      <w:r w:rsidR="00152DF0" w:rsidRPr="0097297C">
        <w:rPr>
          <w:rFonts w:ascii="Times New Roman" w:hAnsi="Times New Roman" w:cs="Times New Roman"/>
          <w:color w:val="000000"/>
        </w:rPr>
        <w:t>de</w:t>
      </w:r>
      <w:r w:rsidR="009F42A4">
        <w:rPr>
          <w:rFonts w:ascii="Times New Roman" w:hAnsi="Times New Roman" w:cs="Times New Roman"/>
          <w:color w:val="000000"/>
        </w:rPr>
        <w:t xml:space="preserve"> l’énergie</w:t>
      </w:r>
      <w:r w:rsidR="00B9576B">
        <w:rPr>
          <w:rFonts w:ascii="Times New Roman" w:hAnsi="Times New Roman" w:cs="Times New Roman"/>
          <w:color w:val="000000"/>
        </w:rPr>
        <w:t>,</w:t>
      </w:r>
      <w:r w:rsidR="009F42A4">
        <w:rPr>
          <w:rFonts w:ascii="Times New Roman" w:hAnsi="Times New Roman" w:cs="Times New Roman"/>
          <w:color w:val="000000"/>
        </w:rPr>
        <w:t xml:space="preserve"> en particulier sur </w:t>
      </w:r>
      <w:r w:rsidR="00152DF0" w:rsidRPr="0097297C">
        <w:rPr>
          <w:rFonts w:ascii="Times New Roman" w:hAnsi="Times New Roman" w:cs="Times New Roman"/>
          <w:color w:val="000000"/>
        </w:rPr>
        <w:t>les batteries et</w:t>
      </w:r>
      <w:r w:rsidR="00B9576B">
        <w:rPr>
          <w:rFonts w:ascii="Times New Roman" w:hAnsi="Times New Roman" w:cs="Times New Roman"/>
          <w:color w:val="000000"/>
        </w:rPr>
        <w:t xml:space="preserve"> sur </w:t>
      </w:r>
      <w:r w:rsidR="00152DF0" w:rsidRPr="0097297C">
        <w:rPr>
          <w:rFonts w:ascii="Times New Roman" w:hAnsi="Times New Roman" w:cs="Times New Roman"/>
          <w:color w:val="000000"/>
        </w:rPr>
        <w:t xml:space="preserve"> les super condensateurs.</w:t>
      </w:r>
      <w:r w:rsidR="007E1120" w:rsidRPr="007E1120">
        <w:rPr>
          <w:rFonts w:ascii="TimesNewRoman" w:hAnsi="TimesNewRoman"/>
          <w:color w:val="000000"/>
        </w:rPr>
        <w:t xml:space="preserve"> </w:t>
      </w:r>
      <w:r w:rsidR="007E1120">
        <w:rPr>
          <w:rFonts w:ascii="TimesNewRoman" w:hAnsi="TimesNewRoman"/>
          <w:color w:val="000000"/>
        </w:rPr>
        <w:t>Les super</w:t>
      </w:r>
      <w:r w:rsidR="0009774A">
        <w:rPr>
          <w:rFonts w:ascii="TimesNewRoman" w:hAnsi="TimesNewRoman"/>
          <w:color w:val="000000"/>
        </w:rPr>
        <w:t xml:space="preserve"> </w:t>
      </w:r>
      <w:r w:rsidR="007E1120">
        <w:rPr>
          <w:rFonts w:ascii="TimesNewRoman" w:hAnsi="TimesNewRoman"/>
          <w:color w:val="000000"/>
        </w:rPr>
        <w:t xml:space="preserve">condensateurs ont attiré beaucoup d'attention en raison de leur excellente stabilité au </w:t>
      </w:r>
      <w:proofErr w:type="spellStart"/>
      <w:r w:rsidR="007E1120">
        <w:rPr>
          <w:rFonts w:ascii="TimesNewRoman" w:hAnsi="TimesNewRoman"/>
          <w:color w:val="000000"/>
        </w:rPr>
        <w:t>cyclage</w:t>
      </w:r>
      <w:proofErr w:type="spellEnd"/>
      <w:r w:rsidR="007E1120">
        <w:rPr>
          <w:rFonts w:ascii="TimesNewRoman" w:hAnsi="TimesNewRoman"/>
          <w:color w:val="000000"/>
        </w:rPr>
        <w:t xml:space="preserve">, leur densité de puissance élevée, et leur réponse rapide. </w:t>
      </w:r>
      <w:r w:rsidR="00152DF0" w:rsidRPr="0097297C">
        <w:rPr>
          <w:rFonts w:ascii="Times New Roman" w:hAnsi="Times New Roman" w:cs="Times New Roman"/>
          <w:color w:val="000000"/>
        </w:rPr>
        <w:t xml:space="preserve"> </w:t>
      </w:r>
      <w:r w:rsidR="00152DF0">
        <w:rPr>
          <w:rFonts w:ascii="Times New Roman" w:hAnsi="Times New Roman" w:cs="Times New Roman"/>
          <w:color w:val="000000"/>
        </w:rPr>
        <w:t xml:space="preserve">De nombreux auteurs ont cherché à améliorer </w:t>
      </w:r>
      <w:r w:rsidR="00152DF0" w:rsidRPr="0097297C">
        <w:rPr>
          <w:rFonts w:ascii="Times New Roman" w:hAnsi="Times New Roman" w:cs="Times New Roman"/>
          <w:color w:val="000000"/>
        </w:rPr>
        <w:t xml:space="preserve"> les performances des </w:t>
      </w:r>
      <w:proofErr w:type="spellStart"/>
      <w:r w:rsidR="00152DF0" w:rsidRPr="0097297C">
        <w:rPr>
          <w:rFonts w:ascii="Times New Roman" w:hAnsi="Times New Roman" w:cs="Times New Roman"/>
          <w:color w:val="000000"/>
        </w:rPr>
        <w:t>superc</w:t>
      </w:r>
      <w:r w:rsidR="00152DF0">
        <w:rPr>
          <w:rFonts w:ascii="Times New Roman" w:hAnsi="Times New Roman" w:cs="Times New Roman"/>
          <w:color w:val="000000"/>
        </w:rPr>
        <w:t>ondensateurs</w:t>
      </w:r>
      <w:proofErr w:type="spellEnd"/>
      <w:r w:rsidR="00152DF0" w:rsidRPr="0097297C">
        <w:rPr>
          <w:rFonts w:ascii="Times New Roman" w:hAnsi="Times New Roman" w:cs="Times New Roman"/>
          <w:color w:val="000000"/>
        </w:rPr>
        <w:t xml:space="preserve">, Notre équipe est parmi les premiers des chercheurs qui ont proposés des améliorations des performances des </w:t>
      </w:r>
      <w:proofErr w:type="spellStart"/>
      <w:r w:rsidR="00152DF0" w:rsidRPr="0097297C">
        <w:rPr>
          <w:rFonts w:ascii="Times New Roman" w:hAnsi="Times New Roman" w:cs="Times New Roman"/>
          <w:color w:val="000000"/>
        </w:rPr>
        <w:t>supercondensateurs</w:t>
      </w:r>
      <w:proofErr w:type="spellEnd"/>
      <w:r w:rsidR="00152DF0" w:rsidRPr="0097297C">
        <w:rPr>
          <w:rFonts w:ascii="Times New Roman" w:hAnsi="Times New Roman" w:cs="Times New Roman"/>
          <w:color w:val="000000"/>
        </w:rPr>
        <w:t xml:space="preserve"> et ceci grâce à des collaborations fructueuses avec certains membres dans des laboratoires en Inde, qui sont impliqués dans notre domaine des travaux de recherche surtout sur </w:t>
      </w:r>
      <w:r w:rsidR="00152DF0">
        <w:rPr>
          <w:rFonts w:ascii="Times New Roman" w:hAnsi="Times New Roman" w:cs="Times New Roman"/>
          <w:color w:val="000000"/>
        </w:rPr>
        <w:t xml:space="preserve">  la relation structure –propriété des liquides iniques en solutions. </w:t>
      </w:r>
    </w:p>
    <w:p w:rsidR="00342BB5" w:rsidRDefault="00C42BF0" w:rsidP="000949B6">
      <w:pPr>
        <w:tabs>
          <w:tab w:val="left" w:pos="7797"/>
        </w:tabs>
        <w:spacing w:after="0"/>
        <w:jc w:val="right"/>
        <w:rPr>
          <w:rFonts w:asciiTheme="majorBidi" w:hAnsiTheme="majorBidi" w:cstheme="majorBidi"/>
          <w:b/>
          <w:bCs/>
          <w:strike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342BB5" w:rsidRPr="000061F4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0061F4" w:rsidRPr="000061F4">
        <w:rPr>
          <w:rFonts w:asciiTheme="majorBidi" w:hAnsiTheme="majorBidi" w:cstheme="majorBidi"/>
          <w:b/>
          <w:bCs/>
          <w:sz w:val="24"/>
          <w:szCs w:val="24"/>
          <w:u w:val="single"/>
        </w:rPr>
        <w:t>Q</w:t>
      </w:r>
      <w:r w:rsidR="00342BB5" w:rsidRPr="000061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uels seraient les objectifs spécifiques du </w:t>
      </w:r>
      <w:r w:rsidR="007518AD">
        <w:rPr>
          <w:rFonts w:asciiTheme="majorBidi" w:hAnsiTheme="majorBidi" w:cstheme="majorBidi"/>
          <w:b/>
          <w:bCs/>
          <w:sz w:val="24"/>
          <w:szCs w:val="24"/>
          <w:u w:val="single"/>
        </w:rPr>
        <w:t>projet</w:t>
      </w:r>
      <w:r w:rsidR="00342BB5" w:rsidRPr="000061F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de recherche ?</w:t>
      </w:r>
    </w:p>
    <w:p w:rsidR="000949B6" w:rsidRP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0949B6">
        <w:rPr>
          <w:rFonts w:ascii="Times New Roman" w:hAnsi="Times New Roman" w:cs="Times New Roman"/>
          <w:b/>
          <w:bCs/>
          <w:u w:val="single"/>
        </w:rPr>
        <w:t xml:space="preserve">1 </w:t>
      </w:r>
      <w:proofErr w:type="spellStart"/>
      <w:r w:rsidRPr="000949B6">
        <w:rPr>
          <w:rFonts w:ascii="Times New Roman" w:hAnsi="Times New Roman" w:cs="Times New Roman"/>
          <w:b/>
          <w:bCs/>
          <w:u w:val="single"/>
          <w:vertAlign w:val="superscript"/>
        </w:rPr>
        <w:t>èr</w:t>
      </w:r>
      <w:proofErr w:type="spellEnd"/>
      <w:r w:rsidRPr="000949B6">
        <w:rPr>
          <w:rFonts w:ascii="Times New Roman" w:hAnsi="Times New Roman" w:cs="Times New Roman"/>
          <w:b/>
          <w:bCs/>
          <w:u w:val="single"/>
        </w:rPr>
        <w:t xml:space="preserve"> Objectif spécifique :</w:t>
      </w:r>
    </w:p>
    <w:p w:rsid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Etudier l’évolution des liquides ioniques, la nature de leurs constituants (cations, anions).</w:t>
      </w:r>
      <w:r w:rsidRPr="0097297C">
        <w:rPr>
          <w:rFonts w:ascii="Times New Roman" w:hAnsi="Times New Roman" w:cs="Times New Roman"/>
        </w:rPr>
        <w:t xml:space="preserve"> </w:t>
      </w:r>
    </w:p>
    <w:p w:rsidR="000949B6" w:rsidRP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rtl/>
          <w:lang w:bidi="ar-DZ"/>
        </w:rPr>
      </w:pPr>
      <w:r w:rsidRPr="000949B6">
        <w:rPr>
          <w:rFonts w:ascii="Times New Roman" w:hAnsi="Times New Roman" w:cs="Times New Roman"/>
          <w:b/>
          <w:bCs/>
          <w:u w:val="single"/>
        </w:rPr>
        <w:t>Résultat attendu :</w:t>
      </w:r>
      <w:r>
        <w:rPr>
          <w:rFonts w:ascii="Times New Roman" w:hAnsi="Times New Roman" w:cs="Times New Roman"/>
        </w:rPr>
        <w:t xml:space="preserve"> Présenter les résultats en débutant par l’explication du choix des cations et anions puis la synthèse des liquides ioniques et leur purification.</w:t>
      </w:r>
    </w:p>
    <w:p w:rsidR="000949B6" w:rsidRP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0949B6">
        <w:rPr>
          <w:rFonts w:ascii="Times New Roman" w:hAnsi="Times New Roman" w:cs="Times New Roman"/>
          <w:b/>
          <w:bCs/>
          <w:u w:val="single"/>
        </w:rPr>
        <w:t xml:space="preserve">2 </w:t>
      </w:r>
      <w:proofErr w:type="spellStart"/>
      <w:r w:rsidRPr="000949B6">
        <w:rPr>
          <w:rFonts w:ascii="Times New Roman" w:hAnsi="Times New Roman" w:cs="Times New Roman"/>
          <w:b/>
          <w:bCs/>
          <w:u w:val="single"/>
        </w:rPr>
        <w:t>éme</w:t>
      </w:r>
      <w:proofErr w:type="spellEnd"/>
      <w:r w:rsidRPr="000949B6">
        <w:rPr>
          <w:rFonts w:ascii="Times New Roman" w:hAnsi="Times New Roman" w:cs="Times New Roman"/>
          <w:b/>
          <w:bCs/>
          <w:u w:val="single"/>
        </w:rPr>
        <w:t xml:space="preserve"> Objectif spécifique :</w:t>
      </w:r>
    </w:p>
    <w:p w:rsid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Etudier</w:t>
      </w:r>
      <w:r w:rsidRPr="0097297C">
        <w:rPr>
          <w:rFonts w:ascii="Times New Roman" w:hAnsi="Times New Roman" w:cs="Times New Roman"/>
        </w:rPr>
        <w:t xml:space="preserve"> des propriétés physico chimique et électrochimique du liquide ionique par l’impact de la variation des chaines alkyles du cation.</w:t>
      </w:r>
    </w:p>
    <w:p w:rsid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97297C">
        <w:rPr>
          <w:rFonts w:ascii="Times New Roman" w:hAnsi="Times New Roman" w:cs="Times New Roman"/>
        </w:rPr>
        <w:t xml:space="preserve"> </w:t>
      </w:r>
      <w:r w:rsidRPr="000949B6">
        <w:rPr>
          <w:rFonts w:ascii="Times New Roman" w:hAnsi="Times New Roman" w:cs="Times New Roman"/>
          <w:b/>
          <w:bCs/>
          <w:u w:val="single"/>
        </w:rPr>
        <w:t>Résultat attendu </w:t>
      </w:r>
      <w:proofErr w:type="gramStart"/>
      <w:r w:rsidRPr="000949B6">
        <w:rPr>
          <w:rFonts w:ascii="Times New Roman" w:hAnsi="Times New Roman" w:cs="Times New Roman"/>
          <w:b/>
          <w:bCs/>
          <w:u w:val="single"/>
        </w:rPr>
        <w:t>:</w:t>
      </w:r>
      <w:r w:rsidRPr="0097297C">
        <w:rPr>
          <w:rFonts w:ascii="Times New Roman" w:hAnsi="Times New Roman" w:cs="Times New Roman"/>
          <w:color w:val="000000"/>
        </w:rPr>
        <w:t>A</w:t>
      </w:r>
      <w:proofErr w:type="gramEnd"/>
      <w:r w:rsidRPr="0097297C">
        <w:rPr>
          <w:rFonts w:ascii="Times New Roman" w:hAnsi="Times New Roman" w:cs="Times New Roman"/>
          <w:color w:val="000000"/>
        </w:rPr>
        <w:t xml:space="preserve"> une faible concentration en solution, l’impact de la variation des chaînes alkyles du cation  a peu d’influence sur les propriétés physico chimique et électrochimique.</w:t>
      </w:r>
    </w:p>
    <w:p w:rsid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</w:rPr>
      </w:pPr>
    </w:p>
    <w:p w:rsidR="000949B6" w:rsidRP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b/>
          <w:bCs/>
          <w:u w:val="single"/>
        </w:rPr>
      </w:pPr>
      <w:r w:rsidRPr="000949B6">
        <w:rPr>
          <w:rFonts w:ascii="Times New Roman" w:hAnsi="Times New Roman" w:cs="Times New Roman"/>
          <w:b/>
          <w:bCs/>
          <w:u w:val="single"/>
        </w:rPr>
        <w:t xml:space="preserve">3 </w:t>
      </w:r>
      <w:proofErr w:type="spellStart"/>
      <w:r w:rsidRPr="000949B6">
        <w:rPr>
          <w:rFonts w:ascii="Times New Roman" w:hAnsi="Times New Roman" w:cs="Times New Roman"/>
          <w:b/>
          <w:bCs/>
          <w:u w:val="single"/>
        </w:rPr>
        <w:t>éme</w:t>
      </w:r>
      <w:proofErr w:type="spellEnd"/>
      <w:r w:rsidRPr="000949B6">
        <w:rPr>
          <w:rFonts w:ascii="Times New Roman" w:hAnsi="Times New Roman" w:cs="Times New Roman"/>
          <w:b/>
          <w:bCs/>
          <w:u w:val="single"/>
        </w:rPr>
        <w:t xml:space="preserve"> Objectif spécifique :</w:t>
      </w:r>
    </w:p>
    <w:p w:rsidR="000949B6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</w:rPr>
      </w:pPr>
      <w:r w:rsidRPr="0097297C">
        <w:rPr>
          <w:rFonts w:ascii="Times New Roman" w:hAnsi="Times New Roman" w:cs="Times New Roman"/>
        </w:rPr>
        <w:t xml:space="preserve">Déterminer le potentiel d’équilibre, les limites anodiques-cathodiques et la réversibilité du système électrochimique </w:t>
      </w:r>
      <w:r>
        <w:rPr>
          <w:rFonts w:ascii="Times New Roman" w:hAnsi="Times New Roman" w:cs="Times New Roman"/>
        </w:rPr>
        <w:t>de mélange liquide ionique/eau optimisé.</w:t>
      </w:r>
    </w:p>
    <w:p w:rsidR="000949B6" w:rsidRPr="0097297C" w:rsidRDefault="000949B6" w:rsidP="000949B6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color w:val="000000"/>
        </w:rPr>
      </w:pPr>
      <w:r w:rsidRPr="000949B6">
        <w:rPr>
          <w:rFonts w:ascii="Times New Roman" w:hAnsi="Times New Roman" w:cs="Times New Roman"/>
          <w:b/>
          <w:bCs/>
          <w:u w:val="single"/>
        </w:rPr>
        <w:t>Résultat attendu </w:t>
      </w:r>
      <w:proofErr w:type="gramStart"/>
      <w:r w:rsidRPr="000949B6">
        <w:rPr>
          <w:rFonts w:ascii="Times New Roman" w:hAnsi="Times New Roman" w:cs="Times New Roman"/>
          <w:b/>
          <w:bCs/>
          <w:u w:val="single"/>
        </w:rPr>
        <w:t>:</w:t>
      </w:r>
      <w:r w:rsidRPr="0097297C">
        <w:rPr>
          <w:rFonts w:ascii="Times New Roman" w:hAnsi="Times New Roman" w:cs="Times New Roman"/>
        </w:rPr>
        <w:t>D</w:t>
      </w:r>
      <w:r w:rsidRPr="0097297C">
        <w:rPr>
          <w:rFonts w:ascii="Times New Roman" w:hAnsi="Times New Roman" w:cs="Times New Roman"/>
          <w:color w:val="000000"/>
        </w:rPr>
        <w:t>ans</w:t>
      </w:r>
      <w:proofErr w:type="gramEnd"/>
      <w:r w:rsidRPr="0097297C">
        <w:rPr>
          <w:rFonts w:ascii="Times New Roman" w:hAnsi="Times New Roman" w:cs="Times New Roman"/>
          <w:color w:val="000000"/>
        </w:rPr>
        <w:t xml:space="preserve"> le cas des liquides ioniques, plusieurs groupes de recherche ont reporté des voltages qui peuvent atteindre des valeurs au-delà de 3V</w:t>
      </w:r>
    </w:p>
    <w:p w:rsidR="000949B6" w:rsidRPr="000949B6" w:rsidRDefault="000949B6" w:rsidP="000949B6">
      <w:pPr>
        <w:tabs>
          <w:tab w:val="left" w:pos="7797"/>
        </w:tabs>
        <w:spacing w:after="0"/>
        <w:jc w:val="right"/>
        <w:rPr>
          <w:rFonts w:asciiTheme="majorBidi" w:hAnsiTheme="majorBidi" w:cstheme="majorBidi"/>
          <w:b/>
          <w:bCs/>
          <w:strike/>
          <w:sz w:val="24"/>
          <w:szCs w:val="24"/>
          <w:u w:val="single"/>
          <w:rtl/>
          <w:lang w:bidi="ar-DZ"/>
        </w:rPr>
      </w:pPr>
      <w:r w:rsidRPr="0097297C">
        <w:rPr>
          <w:rFonts w:ascii="Times New Roman" w:hAnsi="Times New Roman" w:cs="Times New Roman"/>
          <w:color w:val="000000"/>
        </w:rPr>
        <w:lastRenderedPageBreak/>
        <w:t>Comme attendu, le voltamètre cyclique présente des pics très larges et irréversibles</w:t>
      </w:r>
      <w:r w:rsidRPr="0097297C">
        <w:rPr>
          <w:rFonts w:ascii="Times New Roman" w:hAnsi="Times New Roman" w:cs="Times New Roman"/>
          <w:color w:val="000000"/>
        </w:rPr>
        <w:br/>
        <w:t>dans le domaine anodique</w:t>
      </w:r>
    </w:p>
    <w:p w:rsidR="006F70B5" w:rsidRPr="0037283E" w:rsidRDefault="009A1FD6" w:rsidP="000949B6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A1FD6">
        <w:rPr>
          <w:rFonts w:asciiTheme="majorBidi" w:hAnsiTheme="majorBidi" w:cstheme="majorBidi"/>
          <w:b/>
          <w:bCs/>
          <w:sz w:val="24"/>
          <w:szCs w:val="24"/>
          <w:u w:val="single"/>
        </w:rPr>
        <w:t>Métho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</w:t>
      </w:r>
      <w:r w:rsidRPr="009A1FD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ologie de </w:t>
      </w:r>
      <w:r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é</w:t>
      </w:r>
      <w:r w:rsidRPr="009A1FD6">
        <w:rPr>
          <w:rFonts w:asciiTheme="majorBidi" w:hAnsiTheme="majorBidi" w:cstheme="majorBidi" w:hint="eastAsia"/>
          <w:b/>
          <w:bCs/>
          <w:sz w:val="24"/>
          <w:szCs w:val="24"/>
          <w:u w:val="single"/>
        </w:rPr>
        <w:t>alisation</w:t>
      </w:r>
      <w:r w:rsidRPr="009A1FD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programme de recherche</w:t>
      </w:r>
    </w:p>
    <w:p w:rsidR="00C06767" w:rsidRDefault="007D1468" w:rsidP="000949B6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97297C">
        <w:rPr>
          <w:rFonts w:ascii="Times New Roman" w:hAnsi="Times New Roman" w:cs="Times New Roman"/>
          <w:color w:val="000000"/>
        </w:rPr>
        <w:t xml:space="preserve">Dans ce but une méthodologie sera mise en place afin de développer et de caractériser de nouveaux </w:t>
      </w:r>
      <w:r w:rsidR="006F70B5" w:rsidRPr="0097297C">
        <w:rPr>
          <w:rFonts w:ascii="Times New Roman" w:hAnsi="Times New Roman" w:cs="Times New Roman"/>
          <w:color w:val="000000"/>
        </w:rPr>
        <w:t>solutions</w:t>
      </w:r>
      <w:r w:rsidRPr="0097297C">
        <w:rPr>
          <w:rFonts w:ascii="Times New Roman" w:hAnsi="Times New Roman" w:cs="Times New Roman"/>
          <w:color w:val="000000"/>
        </w:rPr>
        <w:t xml:space="preserve">  à base de liquide</w:t>
      </w:r>
      <w:r w:rsidR="00426557" w:rsidRPr="0097297C">
        <w:rPr>
          <w:rFonts w:ascii="Times New Roman" w:hAnsi="Times New Roman" w:cs="Times New Roman"/>
          <w:color w:val="000000"/>
        </w:rPr>
        <w:t>s ioniques, pour améliorer les pe</w:t>
      </w:r>
      <w:r w:rsidRPr="0097297C">
        <w:rPr>
          <w:rFonts w:ascii="Times New Roman" w:hAnsi="Times New Roman" w:cs="Times New Roman"/>
          <w:color w:val="000000"/>
        </w:rPr>
        <w:t xml:space="preserve">rformances des  </w:t>
      </w:r>
      <w:proofErr w:type="spellStart"/>
      <w:r w:rsidR="00426557" w:rsidRPr="0097297C">
        <w:rPr>
          <w:rFonts w:ascii="Times New Roman" w:hAnsi="Times New Roman" w:cs="Times New Roman"/>
          <w:color w:val="000000"/>
        </w:rPr>
        <w:t>supercondensateurs</w:t>
      </w:r>
      <w:proofErr w:type="spellEnd"/>
      <w:r w:rsidR="0007398B" w:rsidRPr="0097297C">
        <w:rPr>
          <w:rFonts w:ascii="Times New Roman" w:hAnsi="Times New Roman" w:cs="Times New Roman"/>
          <w:color w:val="000000"/>
        </w:rPr>
        <w:t>.</w:t>
      </w:r>
      <w:r w:rsidR="002673FF">
        <w:rPr>
          <w:rFonts w:ascii="Times New Roman" w:hAnsi="Times New Roman" w:cs="Times New Roman"/>
          <w:color w:val="000000"/>
        </w:rPr>
        <w:t xml:space="preserve"> Les travaux se seront tout d’abord orientés sur la synthèse </w:t>
      </w:r>
      <w:r w:rsidR="006E7FED">
        <w:rPr>
          <w:rFonts w:ascii="Times New Roman" w:hAnsi="Times New Roman" w:cs="Times New Roman"/>
          <w:color w:val="000000"/>
        </w:rPr>
        <w:t>de nouveaux liquides ioniques</w:t>
      </w:r>
      <w:r w:rsidR="00C96F38">
        <w:rPr>
          <w:rFonts w:ascii="Times New Roman" w:hAnsi="Times New Roman" w:cs="Times New Roman"/>
          <w:color w:val="000000"/>
        </w:rPr>
        <w:t xml:space="preserve"> (LI) associant des cations </w:t>
      </w:r>
      <w:proofErr w:type="spellStart"/>
      <w:r w:rsidR="00BA1718">
        <w:rPr>
          <w:rFonts w:ascii="Times New Roman" w:hAnsi="Times New Roman" w:cs="Times New Roman"/>
          <w:color w:val="000000"/>
        </w:rPr>
        <w:t>imidazolium</w:t>
      </w:r>
      <w:proofErr w:type="spellEnd"/>
      <w:r w:rsidR="00BA171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BA1718">
        <w:rPr>
          <w:rFonts w:ascii="Times New Roman" w:hAnsi="Times New Roman" w:cs="Times New Roman"/>
          <w:color w:val="000000"/>
        </w:rPr>
        <w:t>Imi</w:t>
      </w:r>
      <w:proofErr w:type="spellEnd"/>
      <w:r w:rsidR="00BA1718" w:rsidRPr="00BA1718">
        <w:rPr>
          <w:rFonts w:ascii="Times New Roman" w:hAnsi="Times New Roman" w:cs="Times New Roman"/>
          <w:color w:val="000000"/>
          <w:vertAlign w:val="superscript"/>
        </w:rPr>
        <w:t>+</w:t>
      </w:r>
      <w:r w:rsidR="00BA1718">
        <w:rPr>
          <w:rFonts w:ascii="Times New Roman" w:hAnsi="Times New Roman" w:cs="Times New Roman"/>
          <w:color w:val="000000"/>
        </w:rPr>
        <w:t>)</w:t>
      </w:r>
      <w:r w:rsidR="0007398B" w:rsidRPr="0097297C">
        <w:rPr>
          <w:rFonts w:ascii="Times New Roman" w:hAnsi="Times New Roman" w:cs="Times New Roman"/>
          <w:color w:val="000000"/>
        </w:rPr>
        <w:t xml:space="preserve"> </w:t>
      </w:r>
      <w:r w:rsidR="00431844">
        <w:rPr>
          <w:rFonts w:ascii="Times New Roman" w:hAnsi="Times New Roman" w:cs="Times New Roman"/>
          <w:color w:val="000000"/>
        </w:rPr>
        <w:t>avec d</w:t>
      </w:r>
      <w:r w:rsidR="009B56CF">
        <w:rPr>
          <w:rFonts w:ascii="Times New Roman" w:hAnsi="Times New Roman" w:cs="Times New Roman"/>
          <w:color w:val="000000"/>
        </w:rPr>
        <w:t xml:space="preserve">es anions, et de leur propriétés physico-chimiques (conductivité, viscosité et densité) dans des mélanges binaires LI/eau. </w:t>
      </w:r>
      <w:r w:rsidR="00155684" w:rsidRPr="0097297C">
        <w:rPr>
          <w:rFonts w:ascii="Times New Roman" w:hAnsi="Times New Roman" w:cs="Times New Roman"/>
          <w:color w:val="000000"/>
        </w:rPr>
        <w:t>La démarche envisagée consiste à utiliser conjointement les méthodes de calculs de la chimie théorique et d’en déduire les grandeurs thermodynamiques associées</w:t>
      </w:r>
      <w:r w:rsidR="00B05D22">
        <w:rPr>
          <w:rFonts w:ascii="Times New Roman" w:hAnsi="Times New Roman" w:cs="Times New Roman"/>
          <w:color w:val="000000"/>
        </w:rPr>
        <w:t>.</w:t>
      </w:r>
      <w:r w:rsidR="009B56CF">
        <w:rPr>
          <w:rFonts w:ascii="Times New Roman" w:hAnsi="Times New Roman" w:cs="Times New Roman"/>
          <w:color w:val="000000"/>
        </w:rPr>
        <w:t xml:space="preserve"> </w:t>
      </w:r>
    </w:p>
    <w:p w:rsidR="00B31AD4" w:rsidRDefault="00F516A4" w:rsidP="000949B6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Les méthodes mentionnées auparavant (</w:t>
      </w:r>
      <w:r w:rsidR="001C0E90">
        <w:rPr>
          <w:rFonts w:ascii="Times New Roman" w:hAnsi="Times New Roman" w:cs="Times New Roman"/>
          <w:color w:val="000000"/>
        </w:rPr>
        <w:t>densité, conductivité</w:t>
      </w:r>
      <w:r>
        <w:rPr>
          <w:rFonts w:ascii="Times New Roman" w:hAnsi="Times New Roman" w:cs="Times New Roman"/>
          <w:color w:val="000000"/>
        </w:rPr>
        <w:t xml:space="preserve">…) peuvent fournir des </w:t>
      </w:r>
      <w:r w:rsidR="003956D3">
        <w:rPr>
          <w:rFonts w:ascii="Times New Roman" w:hAnsi="Times New Roman" w:cs="Times New Roman"/>
          <w:color w:val="000000"/>
        </w:rPr>
        <w:t>informations concernant la relation structure-</w:t>
      </w:r>
      <w:r w:rsidR="001C0E90">
        <w:rPr>
          <w:rFonts w:ascii="Times New Roman" w:hAnsi="Times New Roman" w:cs="Times New Roman"/>
          <w:color w:val="000000"/>
        </w:rPr>
        <w:t>propriété</w:t>
      </w:r>
      <w:r w:rsidR="003956D3">
        <w:rPr>
          <w:rFonts w:ascii="Times New Roman" w:hAnsi="Times New Roman" w:cs="Times New Roman"/>
          <w:color w:val="000000"/>
        </w:rPr>
        <w:t xml:space="preserve"> dans des mélanges liquide ionique/eau.</w:t>
      </w:r>
      <w:r w:rsidR="008A647C">
        <w:rPr>
          <w:rFonts w:ascii="Times New Roman" w:hAnsi="Times New Roman" w:cs="Times New Roman"/>
          <w:color w:val="000000"/>
        </w:rPr>
        <w:t xml:space="preserve"> </w:t>
      </w:r>
      <w:r w:rsidR="00CF3BC7">
        <w:rPr>
          <w:rFonts w:ascii="Times New Roman" w:hAnsi="Times New Roman" w:cs="Times New Roman"/>
          <w:color w:val="000000"/>
        </w:rPr>
        <w:t xml:space="preserve">Des caractérisations électrochimiques par </w:t>
      </w:r>
      <w:proofErr w:type="spellStart"/>
      <w:r w:rsidR="00CF3BC7">
        <w:rPr>
          <w:rFonts w:ascii="Times New Roman" w:hAnsi="Times New Roman" w:cs="Times New Roman"/>
          <w:color w:val="000000"/>
        </w:rPr>
        <w:t>vol</w:t>
      </w:r>
      <w:r w:rsidR="00764C96">
        <w:rPr>
          <w:rFonts w:ascii="Times New Roman" w:hAnsi="Times New Roman" w:cs="Times New Roman"/>
          <w:color w:val="000000"/>
        </w:rPr>
        <w:t>tamétrie</w:t>
      </w:r>
      <w:proofErr w:type="spellEnd"/>
      <w:r w:rsidR="00764C96">
        <w:rPr>
          <w:rFonts w:ascii="Times New Roman" w:hAnsi="Times New Roman" w:cs="Times New Roman"/>
          <w:color w:val="000000"/>
        </w:rPr>
        <w:t xml:space="preserve"> cyclique, </w:t>
      </w:r>
      <w:proofErr w:type="spellStart"/>
      <w:r w:rsidR="00764C96">
        <w:rPr>
          <w:rFonts w:ascii="Times New Roman" w:hAnsi="Times New Roman" w:cs="Times New Roman"/>
          <w:color w:val="000000"/>
        </w:rPr>
        <w:t>cyclage</w:t>
      </w:r>
      <w:proofErr w:type="spellEnd"/>
      <w:r w:rsidR="00764C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4C96">
        <w:rPr>
          <w:rFonts w:ascii="Times New Roman" w:hAnsi="Times New Roman" w:cs="Times New Roman"/>
          <w:color w:val="000000"/>
        </w:rPr>
        <w:t>galvanostatique</w:t>
      </w:r>
      <w:proofErr w:type="spellEnd"/>
      <w:r w:rsidR="00764C96">
        <w:rPr>
          <w:rFonts w:ascii="Times New Roman" w:hAnsi="Times New Roman" w:cs="Times New Roman"/>
          <w:color w:val="000000"/>
        </w:rPr>
        <w:t xml:space="preserve"> et spectroscopie d’impédance électrochimique de mélange liquide ionique/eau seront réalisées</w:t>
      </w:r>
      <w:r w:rsidR="005064E3">
        <w:rPr>
          <w:rFonts w:ascii="Times New Roman" w:hAnsi="Times New Roman" w:cs="Times New Roman"/>
          <w:color w:val="000000"/>
        </w:rPr>
        <w:t xml:space="preserve">. Ces milieux </w:t>
      </w:r>
      <w:r w:rsidR="008D4224">
        <w:rPr>
          <w:rFonts w:ascii="Times New Roman" w:hAnsi="Times New Roman" w:cs="Times New Roman"/>
          <w:color w:val="000000"/>
        </w:rPr>
        <w:t>(LI) seront également utilisés comme solution d’électrolyte</w:t>
      </w:r>
      <w:r w:rsidR="00B05D22">
        <w:rPr>
          <w:rFonts w:ascii="Times New Roman" w:hAnsi="Times New Roman" w:cs="Times New Roman"/>
          <w:color w:val="000000"/>
        </w:rPr>
        <w:t xml:space="preserve"> dans les </w:t>
      </w:r>
      <w:proofErr w:type="spellStart"/>
      <w:r w:rsidR="00B05D22">
        <w:rPr>
          <w:rFonts w:ascii="Times New Roman" w:hAnsi="Times New Roman" w:cs="Times New Roman"/>
          <w:color w:val="000000"/>
        </w:rPr>
        <w:t>supercondensateurs</w:t>
      </w:r>
      <w:proofErr w:type="spellEnd"/>
      <w:r w:rsidR="008D4224">
        <w:rPr>
          <w:rFonts w:ascii="Times New Roman" w:hAnsi="Times New Roman" w:cs="Times New Roman"/>
          <w:color w:val="000000"/>
        </w:rPr>
        <w:t xml:space="preserve">. </w:t>
      </w:r>
    </w:p>
    <w:p w:rsidR="002C53C6" w:rsidRDefault="008D4224" w:rsidP="000949B6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31AD4" w:rsidRPr="004C491E" w:rsidRDefault="00B31AD4" w:rsidP="00B31AD4">
      <w:pPr>
        <w:spacing w:after="240"/>
        <w:ind w:left="10" w:right="111"/>
        <w:jc w:val="center"/>
        <w:rPr>
          <w:rFonts w:asciiTheme="majorBidi" w:hAnsiTheme="majorBidi" w:cstheme="majorBidi"/>
          <w:b/>
        </w:rPr>
      </w:pPr>
      <w:r w:rsidRPr="004C491E">
        <w:rPr>
          <w:rFonts w:asciiTheme="majorBidi" w:hAnsiTheme="majorBidi" w:cstheme="majorBidi"/>
          <w:b/>
          <w:color w:val="FF0000"/>
        </w:rPr>
        <w:t xml:space="preserve">Clôture de soumission des candidatures le </w:t>
      </w:r>
      <w:r>
        <w:rPr>
          <w:rFonts w:asciiTheme="majorBidi" w:hAnsiTheme="majorBidi" w:cstheme="majorBidi"/>
          <w:b/>
          <w:color w:val="FF0000"/>
        </w:rPr>
        <w:t>06 mars 2023</w:t>
      </w:r>
    </w:p>
    <w:p w:rsidR="002C53C6" w:rsidRPr="002C53C6" w:rsidRDefault="002C53C6" w:rsidP="00B31AD4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C53C6">
        <w:rPr>
          <w:rFonts w:asciiTheme="majorBidi" w:hAnsiTheme="majorBidi" w:cstheme="majorBidi"/>
          <w:b/>
          <w:bCs/>
          <w:sz w:val="24"/>
          <w:szCs w:val="24"/>
          <w:u w:val="single"/>
        </w:rPr>
        <w:t>Pour postuler :</w:t>
      </w:r>
    </w:p>
    <w:p w:rsidR="000949B6" w:rsidRDefault="000949B6" w:rsidP="000949B6">
      <w:pPr>
        <w:bidi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faut : </w:t>
      </w:r>
    </w:p>
    <w:p w:rsidR="002C53C6" w:rsidRPr="002C53C6" w:rsidRDefault="000949B6" w:rsidP="000949B6">
      <w:pPr>
        <w:bidi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2C53C6" w:rsidRPr="002C53C6">
        <w:rPr>
          <w:rFonts w:ascii="Times New Roman" w:hAnsi="Times New Roman" w:cs="Times New Roman"/>
          <w:color w:val="000000"/>
        </w:rPr>
        <w:t>Déposer un dossier constitué des pièces suivantes au Bureau d'ordre de l'établissement :</w:t>
      </w:r>
    </w:p>
    <w:p w:rsidR="002C53C6" w:rsidRPr="000949B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0949B6">
        <w:rPr>
          <w:rFonts w:ascii="Times New Roman" w:hAnsi="Times New Roman" w:cs="Times New Roman"/>
          <w:color w:val="000000"/>
        </w:rPr>
        <w:t>Un</w:t>
      </w:r>
      <w:r w:rsidR="000949B6" w:rsidRPr="000949B6">
        <w:rPr>
          <w:rFonts w:ascii="Times New Roman" w:hAnsi="Times New Roman" w:cs="Times New Roman"/>
          <w:color w:val="000000"/>
        </w:rPr>
        <w:t xml:space="preserve">e demande </w:t>
      </w:r>
      <w:r w:rsidRPr="000949B6">
        <w:rPr>
          <w:rFonts w:ascii="Times New Roman" w:hAnsi="Times New Roman" w:cs="Times New Roman"/>
          <w:color w:val="000000"/>
        </w:rPr>
        <w:t xml:space="preserve"> de candidature 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0949B6">
        <w:rPr>
          <w:rFonts w:ascii="Times New Roman" w:hAnsi="Times New Roman" w:cs="Times New Roman"/>
          <w:color w:val="000000"/>
        </w:rPr>
        <w:t>Un Curriculum Vitae détaillé (CV)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Une copie certifiée conforme de tous les diplômes depuis le Baccalauréat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Une copie certifiée conforme des attestations d'inscription au Doctorat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Une copie des publications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Une copie de chaque communication orale ou par affiche avec les attestations de participation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Bulletin N°3 (ou équivalent pour les étrangers) récent (moins de 3 mois)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Copie de la CIN ou du passeport pour les étrangers</w:t>
      </w:r>
    </w:p>
    <w:p w:rsidR="002C53C6" w:rsidRPr="002C53C6" w:rsidRDefault="002C53C6" w:rsidP="000949B6">
      <w:pPr>
        <w:numPr>
          <w:ilvl w:val="1"/>
          <w:numId w:val="1"/>
        </w:numPr>
        <w:bidi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2C53C6">
        <w:rPr>
          <w:rFonts w:ascii="Times New Roman" w:hAnsi="Times New Roman" w:cs="Times New Roman"/>
          <w:color w:val="000000"/>
        </w:rPr>
        <w:t>Certificat Médical récent (daté de moins de 3 mois) précisant que le (ou la) candidat(e) possède les capacités physiques et mentales pour exercer la fonction proposée sur tout le territoire tunisien</w:t>
      </w:r>
    </w:p>
    <w:sectPr w:rsidR="002C53C6" w:rsidRPr="002C53C6" w:rsidSect="006B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4E" w:rsidRDefault="00FC0F4E" w:rsidP="00234F4F">
      <w:pPr>
        <w:spacing w:after="0" w:line="240" w:lineRule="auto"/>
      </w:pPr>
      <w:r>
        <w:separator/>
      </w:r>
    </w:p>
  </w:endnote>
  <w:endnote w:type="continuationSeparator" w:id="0">
    <w:p w:rsidR="00FC0F4E" w:rsidRDefault="00FC0F4E" w:rsidP="002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4E" w:rsidRDefault="00FC0F4E" w:rsidP="00234F4F">
      <w:pPr>
        <w:spacing w:after="0" w:line="240" w:lineRule="auto"/>
      </w:pPr>
      <w:r>
        <w:separator/>
      </w:r>
    </w:p>
  </w:footnote>
  <w:footnote w:type="continuationSeparator" w:id="0">
    <w:p w:rsidR="00FC0F4E" w:rsidRDefault="00FC0F4E" w:rsidP="0023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214AA"/>
    <w:multiLevelType w:val="hybridMultilevel"/>
    <w:tmpl w:val="DCE0FF44"/>
    <w:lvl w:ilvl="0" w:tplc="9F26143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40AC6C">
      <w:start w:val="1"/>
      <w:numFmt w:val="bullet"/>
      <w:lvlText w:val="-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648564">
      <w:start w:val="1"/>
      <w:numFmt w:val="bullet"/>
      <w:lvlText w:val="▪"/>
      <w:lvlJc w:val="left"/>
      <w:pPr>
        <w:ind w:left="1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D2A976">
      <w:start w:val="1"/>
      <w:numFmt w:val="bullet"/>
      <w:lvlText w:val="•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64E38">
      <w:start w:val="1"/>
      <w:numFmt w:val="bullet"/>
      <w:lvlText w:val="o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90489C">
      <w:start w:val="1"/>
      <w:numFmt w:val="bullet"/>
      <w:lvlText w:val="▪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BA5B20">
      <w:start w:val="1"/>
      <w:numFmt w:val="bullet"/>
      <w:lvlText w:val="•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1409C6">
      <w:start w:val="1"/>
      <w:numFmt w:val="bullet"/>
      <w:lvlText w:val="o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94B352">
      <w:start w:val="1"/>
      <w:numFmt w:val="bullet"/>
      <w:lvlText w:val="▪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4F4F"/>
    <w:rsid w:val="00001392"/>
    <w:rsid w:val="000061F4"/>
    <w:rsid w:val="000147C7"/>
    <w:rsid w:val="000151C7"/>
    <w:rsid w:val="00020AF8"/>
    <w:rsid w:val="0002716D"/>
    <w:rsid w:val="00034BE7"/>
    <w:rsid w:val="00037148"/>
    <w:rsid w:val="00045898"/>
    <w:rsid w:val="0004671D"/>
    <w:rsid w:val="00046BC6"/>
    <w:rsid w:val="0006190A"/>
    <w:rsid w:val="000642EF"/>
    <w:rsid w:val="00070C9C"/>
    <w:rsid w:val="000717F7"/>
    <w:rsid w:val="0007398B"/>
    <w:rsid w:val="00074B08"/>
    <w:rsid w:val="00081362"/>
    <w:rsid w:val="000828E4"/>
    <w:rsid w:val="00093639"/>
    <w:rsid w:val="000949B6"/>
    <w:rsid w:val="0009774A"/>
    <w:rsid w:val="000A7BB5"/>
    <w:rsid w:val="000B45D4"/>
    <w:rsid w:val="000B466C"/>
    <w:rsid w:val="000C465A"/>
    <w:rsid w:val="000D22CF"/>
    <w:rsid w:val="000D411B"/>
    <w:rsid w:val="000D68B5"/>
    <w:rsid w:val="000E729F"/>
    <w:rsid w:val="000F0F32"/>
    <w:rsid w:val="00105A04"/>
    <w:rsid w:val="00105F8D"/>
    <w:rsid w:val="001208F6"/>
    <w:rsid w:val="0013048C"/>
    <w:rsid w:val="001414E1"/>
    <w:rsid w:val="00142D36"/>
    <w:rsid w:val="00147D26"/>
    <w:rsid w:val="001522C4"/>
    <w:rsid w:val="00152CB2"/>
    <w:rsid w:val="00152DF0"/>
    <w:rsid w:val="001548A0"/>
    <w:rsid w:val="0015567E"/>
    <w:rsid w:val="00155684"/>
    <w:rsid w:val="00155906"/>
    <w:rsid w:val="00176F03"/>
    <w:rsid w:val="0018095C"/>
    <w:rsid w:val="00181892"/>
    <w:rsid w:val="001856CC"/>
    <w:rsid w:val="00192785"/>
    <w:rsid w:val="001A20B8"/>
    <w:rsid w:val="001C0E90"/>
    <w:rsid w:val="001C109B"/>
    <w:rsid w:val="001C163A"/>
    <w:rsid w:val="001C2A49"/>
    <w:rsid w:val="001F46D6"/>
    <w:rsid w:val="002009AE"/>
    <w:rsid w:val="00201E51"/>
    <w:rsid w:val="00201FBF"/>
    <w:rsid w:val="00206647"/>
    <w:rsid w:val="002069C6"/>
    <w:rsid w:val="00223717"/>
    <w:rsid w:val="00225394"/>
    <w:rsid w:val="002268FA"/>
    <w:rsid w:val="00234F4F"/>
    <w:rsid w:val="00235BFC"/>
    <w:rsid w:val="00236947"/>
    <w:rsid w:val="00242ABB"/>
    <w:rsid w:val="002630C7"/>
    <w:rsid w:val="00265670"/>
    <w:rsid w:val="002673FF"/>
    <w:rsid w:val="00277CE4"/>
    <w:rsid w:val="00282410"/>
    <w:rsid w:val="00282E45"/>
    <w:rsid w:val="0028499E"/>
    <w:rsid w:val="00286652"/>
    <w:rsid w:val="00287FE9"/>
    <w:rsid w:val="00293980"/>
    <w:rsid w:val="00295AC6"/>
    <w:rsid w:val="002A04C5"/>
    <w:rsid w:val="002B4163"/>
    <w:rsid w:val="002C03B3"/>
    <w:rsid w:val="002C08D1"/>
    <w:rsid w:val="002C3B37"/>
    <w:rsid w:val="002C4E4B"/>
    <w:rsid w:val="002C53C6"/>
    <w:rsid w:val="002D7733"/>
    <w:rsid w:val="002F1E5C"/>
    <w:rsid w:val="00303D1A"/>
    <w:rsid w:val="00305199"/>
    <w:rsid w:val="00317DF9"/>
    <w:rsid w:val="00317F31"/>
    <w:rsid w:val="00330543"/>
    <w:rsid w:val="00342BB5"/>
    <w:rsid w:val="003431C5"/>
    <w:rsid w:val="00357D7E"/>
    <w:rsid w:val="00367736"/>
    <w:rsid w:val="0037283E"/>
    <w:rsid w:val="00374D28"/>
    <w:rsid w:val="00374DFB"/>
    <w:rsid w:val="003805AC"/>
    <w:rsid w:val="00386501"/>
    <w:rsid w:val="00392140"/>
    <w:rsid w:val="00393C47"/>
    <w:rsid w:val="003956D3"/>
    <w:rsid w:val="003A1311"/>
    <w:rsid w:val="003A322E"/>
    <w:rsid w:val="003B264C"/>
    <w:rsid w:val="003B2A10"/>
    <w:rsid w:val="003C0BFC"/>
    <w:rsid w:val="003C173E"/>
    <w:rsid w:val="003C3A5A"/>
    <w:rsid w:val="003C5A1D"/>
    <w:rsid w:val="003D3B5F"/>
    <w:rsid w:val="00404AC8"/>
    <w:rsid w:val="00405227"/>
    <w:rsid w:val="00410A7C"/>
    <w:rsid w:val="00426557"/>
    <w:rsid w:val="00426E81"/>
    <w:rsid w:val="00431844"/>
    <w:rsid w:val="00431ADC"/>
    <w:rsid w:val="004441AA"/>
    <w:rsid w:val="00445220"/>
    <w:rsid w:val="00461D51"/>
    <w:rsid w:val="004737EC"/>
    <w:rsid w:val="00476FA3"/>
    <w:rsid w:val="004850C5"/>
    <w:rsid w:val="0048751F"/>
    <w:rsid w:val="00493103"/>
    <w:rsid w:val="004962B9"/>
    <w:rsid w:val="004A1028"/>
    <w:rsid w:val="004A31A4"/>
    <w:rsid w:val="004A5F4B"/>
    <w:rsid w:val="004B0504"/>
    <w:rsid w:val="004B1782"/>
    <w:rsid w:val="004C3800"/>
    <w:rsid w:val="004D5D75"/>
    <w:rsid w:val="004E2BD8"/>
    <w:rsid w:val="004E348A"/>
    <w:rsid w:val="005027BB"/>
    <w:rsid w:val="00502EC3"/>
    <w:rsid w:val="00503638"/>
    <w:rsid w:val="005064E3"/>
    <w:rsid w:val="005073B7"/>
    <w:rsid w:val="00511F8A"/>
    <w:rsid w:val="00512BAE"/>
    <w:rsid w:val="00522C50"/>
    <w:rsid w:val="0052767C"/>
    <w:rsid w:val="00527B18"/>
    <w:rsid w:val="0053015A"/>
    <w:rsid w:val="005342C1"/>
    <w:rsid w:val="005440A8"/>
    <w:rsid w:val="00550F5A"/>
    <w:rsid w:val="00553F02"/>
    <w:rsid w:val="0055498A"/>
    <w:rsid w:val="005554A7"/>
    <w:rsid w:val="005713EE"/>
    <w:rsid w:val="00571966"/>
    <w:rsid w:val="00575196"/>
    <w:rsid w:val="0058173B"/>
    <w:rsid w:val="0058519B"/>
    <w:rsid w:val="005915C8"/>
    <w:rsid w:val="005940EA"/>
    <w:rsid w:val="00596087"/>
    <w:rsid w:val="00596F61"/>
    <w:rsid w:val="005A039E"/>
    <w:rsid w:val="005A546E"/>
    <w:rsid w:val="005B0818"/>
    <w:rsid w:val="005D13F2"/>
    <w:rsid w:val="005D6940"/>
    <w:rsid w:val="005D7413"/>
    <w:rsid w:val="005D76E4"/>
    <w:rsid w:val="005E044B"/>
    <w:rsid w:val="005E285B"/>
    <w:rsid w:val="005F1910"/>
    <w:rsid w:val="00610C59"/>
    <w:rsid w:val="00624D25"/>
    <w:rsid w:val="006255A2"/>
    <w:rsid w:val="0062594A"/>
    <w:rsid w:val="00626313"/>
    <w:rsid w:val="00633E6D"/>
    <w:rsid w:val="00641CA5"/>
    <w:rsid w:val="00655186"/>
    <w:rsid w:val="00657F1C"/>
    <w:rsid w:val="00674D53"/>
    <w:rsid w:val="006773F4"/>
    <w:rsid w:val="006B23A6"/>
    <w:rsid w:val="006B33C4"/>
    <w:rsid w:val="006B4CC7"/>
    <w:rsid w:val="006C1840"/>
    <w:rsid w:val="006C4A6D"/>
    <w:rsid w:val="006C783C"/>
    <w:rsid w:val="006D1162"/>
    <w:rsid w:val="006D3FA2"/>
    <w:rsid w:val="006E0F47"/>
    <w:rsid w:val="006E7FED"/>
    <w:rsid w:val="006F214B"/>
    <w:rsid w:val="006F70B5"/>
    <w:rsid w:val="00700B4E"/>
    <w:rsid w:val="00701494"/>
    <w:rsid w:val="00710725"/>
    <w:rsid w:val="007213E1"/>
    <w:rsid w:val="00725654"/>
    <w:rsid w:val="007324EC"/>
    <w:rsid w:val="007518AD"/>
    <w:rsid w:val="00756563"/>
    <w:rsid w:val="00761063"/>
    <w:rsid w:val="00764C96"/>
    <w:rsid w:val="00764DEF"/>
    <w:rsid w:val="00765560"/>
    <w:rsid w:val="00766C92"/>
    <w:rsid w:val="00775AED"/>
    <w:rsid w:val="00784EAE"/>
    <w:rsid w:val="00793F1E"/>
    <w:rsid w:val="007A221D"/>
    <w:rsid w:val="007B1FE7"/>
    <w:rsid w:val="007B7621"/>
    <w:rsid w:val="007C67CC"/>
    <w:rsid w:val="007D1468"/>
    <w:rsid w:val="007D62D7"/>
    <w:rsid w:val="007D79CF"/>
    <w:rsid w:val="007E1120"/>
    <w:rsid w:val="007E2ECC"/>
    <w:rsid w:val="007E56C3"/>
    <w:rsid w:val="007E63FB"/>
    <w:rsid w:val="007F43E0"/>
    <w:rsid w:val="007F4C09"/>
    <w:rsid w:val="008230CD"/>
    <w:rsid w:val="008279C7"/>
    <w:rsid w:val="0083287B"/>
    <w:rsid w:val="00840BAD"/>
    <w:rsid w:val="0085226F"/>
    <w:rsid w:val="00863B0B"/>
    <w:rsid w:val="00873E3B"/>
    <w:rsid w:val="00875488"/>
    <w:rsid w:val="00894A3B"/>
    <w:rsid w:val="008A5711"/>
    <w:rsid w:val="008A647C"/>
    <w:rsid w:val="008C0D96"/>
    <w:rsid w:val="008C2F38"/>
    <w:rsid w:val="008D4224"/>
    <w:rsid w:val="008D6FC7"/>
    <w:rsid w:val="008E33A6"/>
    <w:rsid w:val="008F48B9"/>
    <w:rsid w:val="00902E1E"/>
    <w:rsid w:val="0091081F"/>
    <w:rsid w:val="00915A9E"/>
    <w:rsid w:val="00916D48"/>
    <w:rsid w:val="00933030"/>
    <w:rsid w:val="00945F5D"/>
    <w:rsid w:val="00951C0C"/>
    <w:rsid w:val="00956C6A"/>
    <w:rsid w:val="0096125A"/>
    <w:rsid w:val="009633C2"/>
    <w:rsid w:val="009637D2"/>
    <w:rsid w:val="009714CD"/>
    <w:rsid w:val="0097150C"/>
    <w:rsid w:val="00971DED"/>
    <w:rsid w:val="0097297C"/>
    <w:rsid w:val="009739EB"/>
    <w:rsid w:val="00975D98"/>
    <w:rsid w:val="00981EAB"/>
    <w:rsid w:val="00982890"/>
    <w:rsid w:val="00991A5B"/>
    <w:rsid w:val="00995743"/>
    <w:rsid w:val="009965D3"/>
    <w:rsid w:val="00997915"/>
    <w:rsid w:val="009A141A"/>
    <w:rsid w:val="009A1FD6"/>
    <w:rsid w:val="009A437C"/>
    <w:rsid w:val="009B56CF"/>
    <w:rsid w:val="009B66EE"/>
    <w:rsid w:val="009D72B5"/>
    <w:rsid w:val="009D79B1"/>
    <w:rsid w:val="009E515B"/>
    <w:rsid w:val="009F42A4"/>
    <w:rsid w:val="009F7DCF"/>
    <w:rsid w:val="00A05F6A"/>
    <w:rsid w:val="00A1632F"/>
    <w:rsid w:val="00A17879"/>
    <w:rsid w:val="00A24231"/>
    <w:rsid w:val="00A33AFE"/>
    <w:rsid w:val="00A34790"/>
    <w:rsid w:val="00A3746D"/>
    <w:rsid w:val="00A54AD1"/>
    <w:rsid w:val="00A63298"/>
    <w:rsid w:val="00A71F95"/>
    <w:rsid w:val="00A74481"/>
    <w:rsid w:val="00A91AFF"/>
    <w:rsid w:val="00A9662D"/>
    <w:rsid w:val="00AA506C"/>
    <w:rsid w:val="00AA6DB1"/>
    <w:rsid w:val="00AB5637"/>
    <w:rsid w:val="00AB60DB"/>
    <w:rsid w:val="00AC125D"/>
    <w:rsid w:val="00AE244F"/>
    <w:rsid w:val="00AE5572"/>
    <w:rsid w:val="00AE61EF"/>
    <w:rsid w:val="00AE65FF"/>
    <w:rsid w:val="00AF22AB"/>
    <w:rsid w:val="00AF4758"/>
    <w:rsid w:val="00AF5C96"/>
    <w:rsid w:val="00B032B2"/>
    <w:rsid w:val="00B043F7"/>
    <w:rsid w:val="00B05D22"/>
    <w:rsid w:val="00B26FBF"/>
    <w:rsid w:val="00B31AD4"/>
    <w:rsid w:val="00B36A45"/>
    <w:rsid w:val="00B41747"/>
    <w:rsid w:val="00B42C19"/>
    <w:rsid w:val="00B45822"/>
    <w:rsid w:val="00B47051"/>
    <w:rsid w:val="00B62605"/>
    <w:rsid w:val="00B70272"/>
    <w:rsid w:val="00B75055"/>
    <w:rsid w:val="00B84AD6"/>
    <w:rsid w:val="00B9576B"/>
    <w:rsid w:val="00BA01DE"/>
    <w:rsid w:val="00BA1718"/>
    <w:rsid w:val="00BB125F"/>
    <w:rsid w:val="00BC153B"/>
    <w:rsid w:val="00BC2FFD"/>
    <w:rsid w:val="00BC307A"/>
    <w:rsid w:val="00BC5ABD"/>
    <w:rsid w:val="00BC7601"/>
    <w:rsid w:val="00BD3230"/>
    <w:rsid w:val="00BD5EED"/>
    <w:rsid w:val="00BE45D6"/>
    <w:rsid w:val="00BF1215"/>
    <w:rsid w:val="00BF3992"/>
    <w:rsid w:val="00C02A1A"/>
    <w:rsid w:val="00C0369F"/>
    <w:rsid w:val="00C06767"/>
    <w:rsid w:val="00C12FAE"/>
    <w:rsid w:val="00C147D0"/>
    <w:rsid w:val="00C35084"/>
    <w:rsid w:val="00C407FF"/>
    <w:rsid w:val="00C42BF0"/>
    <w:rsid w:val="00C43B96"/>
    <w:rsid w:val="00C61099"/>
    <w:rsid w:val="00C61EB8"/>
    <w:rsid w:val="00C7598D"/>
    <w:rsid w:val="00C77EC2"/>
    <w:rsid w:val="00C8013C"/>
    <w:rsid w:val="00C811BC"/>
    <w:rsid w:val="00C86CE9"/>
    <w:rsid w:val="00C909C5"/>
    <w:rsid w:val="00C92491"/>
    <w:rsid w:val="00C93627"/>
    <w:rsid w:val="00C94B8A"/>
    <w:rsid w:val="00C96F38"/>
    <w:rsid w:val="00CD1386"/>
    <w:rsid w:val="00CE7A87"/>
    <w:rsid w:val="00CF3BC7"/>
    <w:rsid w:val="00CF481A"/>
    <w:rsid w:val="00CF4C83"/>
    <w:rsid w:val="00D03B95"/>
    <w:rsid w:val="00D17AD2"/>
    <w:rsid w:val="00D2255A"/>
    <w:rsid w:val="00D23146"/>
    <w:rsid w:val="00D2423B"/>
    <w:rsid w:val="00D261FB"/>
    <w:rsid w:val="00D2695F"/>
    <w:rsid w:val="00D27CEB"/>
    <w:rsid w:val="00D36FB7"/>
    <w:rsid w:val="00D60330"/>
    <w:rsid w:val="00D631D7"/>
    <w:rsid w:val="00D635FF"/>
    <w:rsid w:val="00D65C15"/>
    <w:rsid w:val="00D71AAE"/>
    <w:rsid w:val="00D75B02"/>
    <w:rsid w:val="00D84227"/>
    <w:rsid w:val="00D906FC"/>
    <w:rsid w:val="00D91738"/>
    <w:rsid w:val="00D95FF1"/>
    <w:rsid w:val="00DA4236"/>
    <w:rsid w:val="00DA647B"/>
    <w:rsid w:val="00DB5993"/>
    <w:rsid w:val="00DE52ED"/>
    <w:rsid w:val="00DF0CCA"/>
    <w:rsid w:val="00DF1F17"/>
    <w:rsid w:val="00DF2032"/>
    <w:rsid w:val="00DF41D1"/>
    <w:rsid w:val="00E0451E"/>
    <w:rsid w:val="00E06DE0"/>
    <w:rsid w:val="00E31CE2"/>
    <w:rsid w:val="00E34209"/>
    <w:rsid w:val="00E40A0A"/>
    <w:rsid w:val="00E422E0"/>
    <w:rsid w:val="00E426A9"/>
    <w:rsid w:val="00E71263"/>
    <w:rsid w:val="00E717B9"/>
    <w:rsid w:val="00E76471"/>
    <w:rsid w:val="00E815E0"/>
    <w:rsid w:val="00E84A77"/>
    <w:rsid w:val="00E85429"/>
    <w:rsid w:val="00EA48D4"/>
    <w:rsid w:val="00EA4F0D"/>
    <w:rsid w:val="00EB510A"/>
    <w:rsid w:val="00EC0F0D"/>
    <w:rsid w:val="00EC19B1"/>
    <w:rsid w:val="00EC19F9"/>
    <w:rsid w:val="00EC613F"/>
    <w:rsid w:val="00EE67EB"/>
    <w:rsid w:val="00EF1885"/>
    <w:rsid w:val="00F06906"/>
    <w:rsid w:val="00F07108"/>
    <w:rsid w:val="00F072C4"/>
    <w:rsid w:val="00F419BE"/>
    <w:rsid w:val="00F45380"/>
    <w:rsid w:val="00F516A4"/>
    <w:rsid w:val="00F52E3E"/>
    <w:rsid w:val="00F55E7C"/>
    <w:rsid w:val="00F60D00"/>
    <w:rsid w:val="00F64C4C"/>
    <w:rsid w:val="00F72688"/>
    <w:rsid w:val="00F76348"/>
    <w:rsid w:val="00F764C5"/>
    <w:rsid w:val="00F911AF"/>
    <w:rsid w:val="00F94E1A"/>
    <w:rsid w:val="00F96904"/>
    <w:rsid w:val="00FA13E2"/>
    <w:rsid w:val="00FA22BE"/>
    <w:rsid w:val="00FA2471"/>
    <w:rsid w:val="00FB2A56"/>
    <w:rsid w:val="00FB547B"/>
    <w:rsid w:val="00FB78E8"/>
    <w:rsid w:val="00FC0F4E"/>
    <w:rsid w:val="00FC7F37"/>
    <w:rsid w:val="00FD0F19"/>
    <w:rsid w:val="00FE15DA"/>
    <w:rsid w:val="00FE4C14"/>
    <w:rsid w:val="00FE5108"/>
    <w:rsid w:val="00FE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3E"/>
    <w:pPr>
      <w:bidi/>
      <w:spacing w:after="160" w:line="259" w:lineRule="auto"/>
    </w:pPr>
    <w:rPr>
      <w:rFonts w:ascii="Calibri" w:hAnsi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173E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173E"/>
    <w:rPr>
      <w:rFonts w:ascii="Calibri Light" w:eastAsia="SimSun" w:hAnsi="Calibri Light" w:cs="Times New Roman"/>
      <w:color w:val="1F4E79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3C173E"/>
    <w:pPr>
      <w:bidi w:val="0"/>
      <w:spacing w:after="200" w:line="276" w:lineRule="auto"/>
      <w:ind w:left="720"/>
      <w:contextualSpacing/>
    </w:pPr>
    <w:rPr>
      <w:rFonts w:ascii="Lucida Sans Unicode" w:eastAsia="Lucida Sans Unicode" w:hAnsi="Lucida Sans Unicode" w:cs="Times New Roman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2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4F4F"/>
    <w:rPr>
      <w:rFonts w:ascii="Calibri" w:hAnsi="Calibri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4F4F"/>
    <w:rPr>
      <w:rFonts w:ascii="Calibri" w:hAnsi="Calibri"/>
      <w:lang w:eastAsia="fr-FR"/>
    </w:rPr>
  </w:style>
  <w:style w:type="table" w:styleId="Grilledutableau">
    <w:name w:val="Table Grid"/>
    <w:basedOn w:val="TableauNormal"/>
    <w:uiPriority w:val="59"/>
    <w:rsid w:val="00342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2C4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AF22AB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table" w:customStyle="1" w:styleId="TableGrid">
    <w:name w:val="TableGrid"/>
    <w:rsid w:val="002C53C6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ébit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CFE4-266A-412D-8962-8232FB3B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Informatique-1</cp:lastModifiedBy>
  <cp:revision>2</cp:revision>
  <cp:lastPrinted>2024-01-12T14:53:00Z</cp:lastPrinted>
  <dcterms:created xsi:type="dcterms:W3CDTF">2024-02-05T14:09:00Z</dcterms:created>
  <dcterms:modified xsi:type="dcterms:W3CDTF">2024-02-05T14:09:00Z</dcterms:modified>
</cp:coreProperties>
</file>